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F2" w:rsidRDefault="00CB3852">
      <w:r w:rsidRPr="00CB3852">
        <w:t xml:space="preserve">Devido a classificação atual desta recorrente, desistimos da apresentação das razões recursais em peça apartada, visto que a decisão não aproveitaria esta recorrente. Mas em resumo, insistimos, no entanto, que a proposta é inexequível. A recorrida não cotou valor do vale alimentação nas férias, conforme é devido pela CCT da categoria; valores dos uniformes é irrisório e impossível de manter no longo prazo; os percentuais de provisão para rescisão estão totalmente descolados da realidade e são percentuais que não refletem os custos que terão na execução do contrato. Por </w:t>
      </w:r>
      <w:proofErr w:type="spellStart"/>
      <w:r w:rsidRPr="00CB3852">
        <w:t>ex</w:t>
      </w:r>
      <w:proofErr w:type="spellEnd"/>
      <w:r w:rsidRPr="00CB3852">
        <w:t>: a soma das multas de aviso prévio trabalho e indenizado devem somar, no mínimo 4%. Na planilha aceita está muito menor. Soma-se a isso o fato de a despesa adm. e lucro estarem irrisórios (somados os dois percentuais não chegam a 30 reais mensais). Mas se a administração quer dar credibilidade para esse tipo de proposta filantrópica (lucro, certamente não quer a arrematante), não é esta empresa que irá se opor.</w:t>
      </w:r>
      <w:bookmarkStart w:id="0" w:name="_GoBack"/>
      <w:bookmarkEnd w:id="0"/>
    </w:p>
    <w:sectPr w:rsidR="003F4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63433D"/>
    <w:rsid w:val="00CB3852"/>
    <w:rsid w:val="00F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E13A-AB4F-4EA4-B110-B2A5093E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2023-10-16T13:24:00Z</dcterms:created>
  <dcterms:modified xsi:type="dcterms:W3CDTF">2023-10-16T13:24:00Z</dcterms:modified>
</cp:coreProperties>
</file>